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B7" w:rsidRPr="00B232FF" w:rsidRDefault="006F68D7">
      <w:pPr>
        <w:rPr>
          <w:b/>
        </w:rPr>
      </w:pPr>
      <w:r w:rsidRPr="00B232FF">
        <w:rPr>
          <w:b/>
        </w:rPr>
        <w:t xml:space="preserve">Home Based Education to Promote Live Kidney Donation </w:t>
      </w:r>
    </w:p>
    <w:p w:rsidR="006F68D7" w:rsidRDefault="006F68D7"/>
    <w:p w:rsidR="006F68D7" w:rsidRDefault="006F68D7">
      <w:pPr>
        <w:rPr>
          <w:i/>
        </w:rPr>
      </w:pPr>
      <w:r w:rsidRPr="006F68D7">
        <w:rPr>
          <w:i/>
        </w:rPr>
        <w:t xml:space="preserve">Suggestions how to implement home based education for Live </w:t>
      </w:r>
      <w:r w:rsidR="00AA3D5F">
        <w:rPr>
          <w:i/>
        </w:rPr>
        <w:t>K</w:t>
      </w:r>
      <w:r w:rsidRPr="006F68D7">
        <w:rPr>
          <w:i/>
        </w:rPr>
        <w:t xml:space="preserve">idney </w:t>
      </w:r>
      <w:r w:rsidR="00AA3D5F">
        <w:rPr>
          <w:i/>
        </w:rPr>
        <w:t>D</w:t>
      </w:r>
      <w:r w:rsidRPr="006F68D7">
        <w:rPr>
          <w:i/>
        </w:rPr>
        <w:t>onor coordinators based on the experience at</w:t>
      </w:r>
      <w:r w:rsidR="00AA3D5F">
        <w:rPr>
          <w:i/>
        </w:rPr>
        <w:t xml:space="preserve"> the </w:t>
      </w:r>
      <w:r w:rsidRPr="006F68D7">
        <w:rPr>
          <w:i/>
        </w:rPr>
        <w:t>Counties Manukau DHB Live Kidney Donation Aotearoa Project</w:t>
      </w:r>
      <w:r w:rsidR="00057294">
        <w:rPr>
          <w:i/>
        </w:rPr>
        <w:t xml:space="preserve"> (LKDA)</w:t>
      </w:r>
      <w:r>
        <w:rPr>
          <w:i/>
        </w:rPr>
        <w:t>.</w:t>
      </w:r>
    </w:p>
    <w:p w:rsidR="006F68D7" w:rsidRDefault="006F68D7">
      <w:pPr>
        <w:rPr>
          <w:i/>
        </w:rPr>
      </w:pPr>
    </w:p>
    <w:p w:rsidR="006F68D7" w:rsidRDefault="006F68D7">
      <w:r w:rsidRPr="00B232FF">
        <w:rPr>
          <w:b/>
        </w:rPr>
        <w:t>Aim:</w:t>
      </w:r>
      <w:r>
        <w:t xml:space="preserve"> To provide an opportunity for a kidney transplant recipient, potential live kidney </w:t>
      </w:r>
      <w:r w:rsidR="00AA3D5F">
        <w:t xml:space="preserve">donors and </w:t>
      </w:r>
      <w:r>
        <w:t>family/ whanau to receive information about live kidney donation (</w:t>
      </w:r>
      <w:r w:rsidR="00841DE0">
        <w:t>LKD</w:t>
      </w:r>
      <w:r>
        <w:t xml:space="preserve">). </w:t>
      </w:r>
    </w:p>
    <w:p w:rsidR="006F68D7" w:rsidRDefault="006F68D7"/>
    <w:p w:rsidR="00AA3D5F" w:rsidRDefault="006F68D7">
      <w:proofErr w:type="gramStart"/>
      <w:r w:rsidRPr="00B232FF">
        <w:rPr>
          <w:b/>
        </w:rPr>
        <w:t xml:space="preserve">Evidence </w:t>
      </w:r>
      <w:r w:rsidR="00AA3D5F" w:rsidRPr="00B232FF">
        <w:rPr>
          <w:b/>
        </w:rPr>
        <w:t>:</w:t>
      </w:r>
      <w:proofErr w:type="gramEnd"/>
      <w:r w:rsidR="00AA3D5F">
        <w:t xml:space="preserve"> </w:t>
      </w:r>
      <w:r w:rsidR="00AA3D5F" w:rsidRPr="00AA3D5F">
        <w:t>Randomised controlled trials have demonstrated the effectiveness of inclusive home-based education to address the c</w:t>
      </w:r>
      <w:r w:rsidR="00AA3D5F">
        <w:t>oncerns of live kidney donation.</w:t>
      </w:r>
    </w:p>
    <w:p w:rsidR="00AA3D5F" w:rsidRDefault="00AA3D5F" w:rsidP="00AA3D5F">
      <w:r>
        <w:t xml:space="preserve">           </w:t>
      </w:r>
      <w:proofErr w:type="spellStart"/>
      <w:r>
        <w:t>Rodrigue</w:t>
      </w:r>
      <w:proofErr w:type="spellEnd"/>
      <w:r>
        <w:t xml:space="preserve"> JR, Cornell DL, Kaplan B, Howard RJ. </w:t>
      </w:r>
      <w:proofErr w:type="gramStart"/>
      <w:r>
        <w:t>Patients' willingness to talk to others about living kidney donation</w:t>
      </w:r>
      <w:r w:rsidRPr="000210F4">
        <w:rPr>
          <w:i/>
        </w:rPr>
        <w:t>.</w:t>
      </w:r>
      <w:proofErr w:type="gramEnd"/>
      <w:r w:rsidRPr="000210F4">
        <w:rPr>
          <w:i/>
        </w:rPr>
        <w:t xml:space="preserve"> </w:t>
      </w:r>
      <w:proofErr w:type="spellStart"/>
      <w:r w:rsidRPr="000210F4">
        <w:rPr>
          <w:i/>
        </w:rPr>
        <w:t>Prog</w:t>
      </w:r>
      <w:proofErr w:type="spellEnd"/>
      <w:r w:rsidRPr="000210F4">
        <w:rPr>
          <w:i/>
        </w:rPr>
        <w:t xml:space="preserve"> Transplant. Mar 2008; 18(1):25-31.</w:t>
      </w:r>
    </w:p>
    <w:p w:rsidR="00AA3D5F" w:rsidRDefault="00AA3D5F" w:rsidP="00AA3D5F">
      <w:r>
        <w:tab/>
      </w:r>
      <w:proofErr w:type="spellStart"/>
      <w:r>
        <w:t>Rodrigue</w:t>
      </w:r>
      <w:proofErr w:type="spellEnd"/>
      <w:r>
        <w:t xml:space="preserve"> JR, Cornell DL, Lin JK, Kaplan B, Howard RJ. Increasing live donor kidney transplantation: a randomized controlled trial of a home-based educational intervention. </w:t>
      </w:r>
      <w:proofErr w:type="gramStart"/>
      <w:r w:rsidRPr="000210F4">
        <w:rPr>
          <w:i/>
        </w:rPr>
        <w:t>Am J Transplant.</w:t>
      </w:r>
      <w:proofErr w:type="gramEnd"/>
      <w:r w:rsidRPr="000210F4">
        <w:rPr>
          <w:i/>
        </w:rPr>
        <w:t xml:space="preserve"> Feb 2007; 7(2):394-401.</w:t>
      </w:r>
    </w:p>
    <w:p w:rsidR="00AA3D5F" w:rsidRDefault="00AA3D5F" w:rsidP="00AA3D5F">
      <w:pPr>
        <w:rPr>
          <w:i/>
        </w:rPr>
      </w:pPr>
      <w:r>
        <w:tab/>
      </w:r>
      <w:proofErr w:type="spellStart"/>
      <w:r>
        <w:t>Rodrigue</w:t>
      </w:r>
      <w:proofErr w:type="spellEnd"/>
      <w:r>
        <w:t xml:space="preserve"> JR, Cornell DL, Kaplan B, Howard RJ. A randomized trial of a home-based educational approach to increase live donor kidney transplantation: effects in blacks and whites. </w:t>
      </w:r>
      <w:r w:rsidRPr="000210F4">
        <w:rPr>
          <w:i/>
        </w:rPr>
        <w:t>Am J Kidney Dis. Apr 2008; 51(4):663-670.</w:t>
      </w:r>
    </w:p>
    <w:p w:rsidR="00F23A24" w:rsidRPr="00F23A24" w:rsidRDefault="00F23A24" w:rsidP="00F23A24">
      <w:r>
        <w:t xml:space="preserve">            Massey EK,</w:t>
      </w:r>
      <w:r w:rsidRPr="00F23A24">
        <w:t xml:space="preserve"> </w:t>
      </w:r>
      <w:proofErr w:type="spellStart"/>
      <w:r>
        <w:t>Smak</w:t>
      </w:r>
      <w:proofErr w:type="spellEnd"/>
      <w:r>
        <w:t xml:space="preserve"> </w:t>
      </w:r>
      <w:proofErr w:type="spellStart"/>
      <w:r>
        <w:t>Gregoor</w:t>
      </w:r>
      <w:proofErr w:type="spellEnd"/>
      <w:r>
        <w:t xml:space="preserve"> PJ, </w:t>
      </w:r>
      <w:proofErr w:type="spellStart"/>
      <w:r>
        <w:t>Nette</w:t>
      </w:r>
      <w:proofErr w:type="spellEnd"/>
      <w:r>
        <w:t xml:space="preserve"> RJ et al. Early home-based group education to support informed decision-making among patients with end-stage renal disease: a multi-centre randomized controlled trial</w:t>
      </w:r>
      <w:r w:rsidRPr="00F23A24">
        <w:t xml:space="preserve"> </w:t>
      </w:r>
      <w:proofErr w:type="spellStart"/>
      <w:r>
        <w:rPr>
          <w:i/>
        </w:rPr>
        <w:t>Nephrol</w:t>
      </w:r>
      <w:proofErr w:type="spellEnd"/>
      <w:r>
        <w:rPr>
          <w:i/>
        </w:rPr>
        <w:t xml:space="preserve"> Dial </w:t>
      </w:r>
      <w:proofErr w:type="gramStart"/>
      <w:r>
        <w:rPr>
          <w:i/>
        </w:rPr>
        <w:t>Transplant  Aug</w:t>
      </w:r>
      <w:proofErr w:type="gramEnd"/>
      <w:r>
        <w:rPr>
          <w:i/>
        </w:rPr>
        <w:t xml:space="preserve"> 2015</w:t>
      </w:r>
      <w:r w:rsidRPr="00F23A24">
        <w:rPr>
          <w:i/>
        </w:rPr>
        <w:t xml:space="preserve"> 31: 823</w:t>
      </w:r>
    </w:p>
    <w:p w:rsidR="00AA3D5F" w:rsidRPr="000210F4" w:rsidRDefault="00AA3D5F" w:rsidP="00AA3D5F">
      <w:pPr>
        <w:rPr>
          <w:i/>
        </w:rPr>
      </w:pPr>
    </w:p>
    <w:p w:rsidR="006F68D7" w:rsidRDefault="00AA3D5F">
      <w:r w:rsidRPr="00AA3D5F">
        <w:t xml:space="preserve">Such education increases awareness and knowledge amongst families and social support networks, and results in more live donor enquiries than standard clinic-based education. This model has been particularly effective for US blacks who like </w:t>
      </w:r>
      <w:proofErr w:type="spellStart"/>
      <w:r w:rsidRPr="00AA3D5F">
        <w:t>Pasifika</w:t>
      </w:r>
      <w:proofErr w:type="spellEnd"/>
      <w:r w:rsidRPr="00AA3D5F">
        <w:t xml:space="preserve"> and </w:t>
      </w:r>
      <w:proofErr w:type="spellStart"/>
      <w:r w:rsidRPr="00AA3D5F">
        <w:t>Maaori</w:t>
      </w:r>
      <w:proofErr w:type="spellEnd"/>
      <w:r w:rsidRPr="00AA3D5F">
        <w:t xml:space="preserve"> are less likely to receive a live donor kidney transplant. A key feature of this model is an educator role to augment the donor co-coordinator, while focusing on breaking down medical mistrust, educating about the criteria and process of live donation, addressing religious concerns, engaging in financial counselling, and overcoming knowledge deficits and unmet concerns about the h</w:t>
      </w:r>
      <w:r w:rsidR="00D725C9">
        <w:t>ealth risks of live kidney donation</w:t>
      </w:r>
      <w:r w:rsidRPr="00AA3D5F">
        <w:t xml:space="preserve">. </w:t>
      </w:r>
    </w:p>
    <w:p w:rsidR="00AA3D5F" w:rsidRDefault="00AA3D5F"/>
    <w:p w:rsidR="00AA3D5F" w:rsidRDefault="00AA3D5F">
      <w:r w:rsidRPr="00B232FF">
        <w:rPr>
          <w:b/>
        </w:rPr>
        <w:t>Process:</w:t>
      </w:r>
      <w:r>
        <w:t xml:space="preserve"> Identify suitable recipients</w:t>
      </w:r>
    </w:p>
    <w:p w:rsidR="00AA3D5F" w:rsidRDefault="00AA3D5F" w:rsidP="00AA3D5F">
      <w:pPr>
        <w:pStyle w:val="ListParagraph"/>
        <w:numPr>
          <w:ilvl w:val="0"/>
          <w:numId w:val="1"/>
        </w:numPr>
      </w:pPr>
      <w:r>
        <w:t>Patients on the deceased donor waiting list</w:t>
      </w:r>
      <w:r w:rsidR="00841DE0">
        <w:t xml:space="preserve"> (DDWL)</w:t>
      </w:r>
    </w:p>
    <w:p w:rsidR="00AA3D5F" w:rsidRDefault="00AA3D5F" w:rsidP="00AA3D5F">
      <w:pPr>
        <w:pStyle w:val="ListParagraph"/>
        <w:numPr>
          <w:ilvl w:val="0"/>
          <w:numId w:val="1"/>
        </w:numPr>
      </w:pPr>
      <w:r>
        <w:t>Pat</w:t>
      </w:r>
      <w:r w:rsidR="00841DE0">
        <w:t>ients in active evaluation for the DDWL</w:t>
      </w:r>
    </w:p>
    <w:p w:rsidR="00841DE0" w:rsidRDefault="00841DE0" w:rsidP="00AA3D5F">
      <w:pPr>
        <w:pStyle w:val="ListParagraph"/>
        <w:numPr>
          <w:ilvl w:val="0"/>
          <w:numId w:val="1"/>
        </w:numPr>
      </w:pPr>
      <w:r>
        <w:t>Patients declined during evaluation for DDWL that may be suitable for LKD</w:t>
      </w:r>
    </w:p>
    <w:p w:rsidR="0086195B" w:rsidRDefault="00841DE0" w:rsidP="0086195B">
      <w:pPr>
        <w:pStyle w:val="ListParagraph"/>
        <w:numPr>
          <w:ilvl w:val="0"/>
          <w:numId w:val="1"/>
        </w:numPr>
      </w:pPr>
      <w:r>
        <w:t>Patients declined/delisted from the DDWL that may be suitable for LKD</w:t>
      </w:r>
    </w:p>
    <w:p w:rsidR="0086195B" w:rsidRDefault="0086195B" w:rsidP="0086195B"/>
    <w:p w:rsidR="00AB2818" w:rsidRDefault="0086195B" w:rsidP="0086195B">
      <w:r>
        <w:t xml:space="preserve">Contact recipients and explain the purpose of proposed meeting, </w:t>
      </w:r>
    </w:p>
    <w:p w:rsidR="0086195B" w:rsidRPr="00AB2818" w:rsidRDefault="00AB2818" w:rsidP="0086195B">
      <w:pPr>
        <w:rPr>
          <w:i/>
        </w:rPr>
      </w:pPr>
      <w:r>
        <w:rPr>
          <w:i/>
        </w:rPr>
        <w:t>P</w:t>
      </w:r>
      <w:r w:rsidR="0086195B" w:rsidRPr="00AB2818">
        <w:rPr>
          <w:i/>
        </w:rPr>
        <w:t>atients need to consent to the meetings as their</w:t>
      </w:r>
      <w:r w:rsidR="000210F4">
        <w:rPr>
          <w:i/>
        </w:rPr>
        <w:t xml:space="preserve"> health</w:t>
      </w:r>
      <w:r w:rsidR="0086195B" w:rsidRPr="00AB2818">
        <w:rPr>
          <w:i/>
        </w:rPr>
        <w:t xml:space="preserve"> information is shared </w:t>
      </w:r>
      <w:r w:rsidRPr="00AB2818">
        <w:rPr>
          <w:i/>
        </w:rPr>
        <w:t>at</w:t>
      </w:r>
      <w:r w:rsidR="0086195B" w:rsidRPr="00AB2818">
        <w:rPr>
          <w:i/>
        </w:rPr>
        <w:t xml:space="preserve"> the meeting.</w:t>
      </w:r>
    </w:p>
    <w:p w:rsidR="00AB2818" w:rsidRDefault="00AB2818" w:rsidP="0086195B"/>
    <w:p w:rsidR="00AB2818" w:rsidRDefault="00AB2818" w:rsidP="0086195B">
      <w:r>
        <w:t>Set up time</w:t>
      </w:r>
      <w:r w:rsidR="00D725C9">
        <w:t xml:space="preserve"> </w:t>
      </w:r>
      <w:r>
        <w:t xml:space="preserve">/ day suitable for recipient to get attendees together. </w:t>
      </w:r>
    </w:p>
    <w:p w:rsidR="00AB2818" w:rsidRPr="00AB2818" w:rsidRDefault="00AB2818" w:rsidP="0086195B">
      <w:pPr>
        <w:rPr>
          <w:i/>
        </w:rPr>
      </w:pPr>
      <w:r>
        <w:rPr>
          <w:i/>
        </w:rPr>
        <w:t>T</w:t>
      </w:r>
      <w:r w:rsidRPr="00AB2818">
        <w:rPr>
          <w:i/>
        </w:rPr>
        <w:t xml:space="preserve">hese meetings were often held after hours or at the weekend as most families had work commitments. </w:t>
      </w:r>
      <w:r>
        <w:rPr>
          <w:i/>
        </w:rPr>
        <w:t>The LKD coordinator and educator claimed time in lieu and travel costs.</w:t>
      </w:r>
    </w:p>
    <w:p w:rsidR="0086195B" w:rsidRDefault="0086195B" w:rsidP="0086195B">
      <w:pPr>
        <w:rPr>
          <w:i/>
        </w:rPr>
      </w:pPr>
    </w:p>
    <w:p w:rsidR="00F23A24" w:rsidRDefault="00F23A24" w:rsidP="0086195B"/>
    <w:p w:rsidR="00743976" w:rsidRPr="00B232FF" w:rsidRDefault="00E45F93" w:rsidP="0086195B">
      <w:pPr>
        <w:rPr>
          <w:b/>
        </w:rPr>
      </w:pPr>
      <w:r w:rsidRPr="00B232FF">
        <w:rPr>
          <w:b/>
        </w:rPr>
        <w:t xml:space="preserve">Structure and Content </w:t>
      </w:r>
      <w:r w:rsidR="00743976" w:rsidRPr="00B232FF">
        <w:rPr>
          <w:b/>
        </w:rPr>
        <w:t xml:space="preserve">of Meeting </w:t>
      </w:r>
    </w:p>
    <w:p w:rsidR="00F23A24" w:rsidRDefault="00F23A24" w:rsidP="0086195B">
      <w:r>
        <w:tab/>
        <w:t>I</w:t>
      </w:r>
      <w:r w:rsidR="00541115">
        <w:t xml:space="preserve">ntroduction by </w:t>
      </w:r>
      <w:r>
        <w:t>educator</w:t>
      </w:r>
      <w:r w:rsidR="00B232FF">
        <w:t xml:space="preserve"> </w:t>
      </w:r>
      <w:r w:rsidR="00541115">
        <w:t>(if</w:t>
      </w:r>
      <w:r w:rsidR="00B232FF">
        <w:t xml:space="preserve"> applicable)</w:t>
      </w:r>
      <w:r w:rsidR="00541115">
        <w:t xml:space="preserve"> or whoever is leading the meeting.</w:t>
      </w:r>
    </w:p>
    <w:p w:rsidR="00F23A24" w:rsidRDefault="00F23A24" w:rsidP="0086195B">
      <w:r>
        <w:tab/>
        <w:t>Explain reason for meeting</w:t>
      </w:r>
    </w:p>
    <w:p w:rsidR="00F23A24" w:rsidRDefault="00F23A24" w:rsidP="0086195B">
      <w:r>
        <w:tab/>
        <w:t xml:space="preserve">Offer the opportunity to start the meeting with a prayer or </w:t>
      </w:r>
      <w:proofErr w:type="spellStart"/>
      <w:r>
        <w:t>karakia</w:t>
      </w:r>
      <w:proofErr w:type="spellEnd"/>
    </w:p>
    <w:p w:rsidR="00F23A24" w:rsidRDefault="00F23A24" w:rsidP="0086195B">
      <w:r>
        <w:tab/>
        <w:t xml:space="preserve">Explain purpose </w:t>
      </w:r>
      <w:r w:rsidRPr="00D64E2D">
        <w:rPr>
          <w:u w:val="single"/>
        </w:rPr>
        <w:t>is not</w:t>
      </w:r>
      <w:r>
        <w:t xml:space="preserve"> to identify donors but to share information</w:t>
      </w:r>
      <w:r w:rsidR="00E45F93">
        <w:t xml:space="preserve"> and that no        follow up occurs as a result of the meeting.</w:t>
      </w:r>
    </w:p>
    <w:p w:rsidR="00E45F93" w:rsidRDefault="00E45F93" w:rsidP="0086195B">
      <w:r>
        <w:tab/>
        <w:t xml:space="preserve">Outline recipients situation </w:t>
      </w:r>
      <w:proofErr w:type="spellStart"/>
      <w:r>
        <w:t>eg</w:t>
      </w:r>
      <w:proofErr w:type="spellEnd"/>
      <w:r>
        <w:t xml:space="preserve"> time on dialysis, burden of dialysis to recipient and family, whether on DD list and how long, likelihood of receiving DD kidney (if on the list)</w:t>
      </w:r>
    </w:p>
    <w:p w:rsidR="000B2775" w:rsidRDefault="000B2775" w:rsidP="0086195B">
      <w:r>
        <w:tab/>
        <w:t>Outline live donation evaluation process including risks, financial compensation, time off work</w:t>
      </w:r>
      <w:r w:rsidR="00EC4F4A">
        <w:t>, recovery</w:t>
      </w:r>
      <w:r w:rsidR="00541115">
        <w:t xml:space="preserve"> </w:t>
      </w:r>
      <w:proofErr w:type="spellStart"/>
      <w:r w:rsidR="00541115">
        <w:t>etc</w:t>
      </w:r>
      <w:proofErr w:type="spellEnd"/>
      <w:r w:rsidR="00EC4F4A">
        <w:t xml:space="preserve"> </w:t>
      </w:r>
    </w:p>
    <w:p w:rsidR="000B2775" w:rsidRDefault="000B2775" w:rsidP="0086195B">
      <w:r>
        <w:tab/>
        <w:t>Answer questions as they arise</w:t>
      </w:r>
    </w:p>
    <w:p w:rsidR="000B2775" w:rsidRDefault="000B2775" w:rsidP="0086195B">
      <w:r>
        <w:tab/>
        <w:t xml:space="preserve">Close meeting with prayer or </w:t>
      </w:r>
      <w:proofErr w:type="spellStart"/>
      <w:r w:rsidR="00EC4F4A">
        <w:t>k</w:t>
      </w:r>
      <w:r>
        <w:t>arakia</w:t>
      </w:r>
      <w:proofErr w:type="spellEnd"/>
      <w:r>
        <w:t xml:space="preserve"> if requ</w:t>
      </w:r>
      <w:r w:rsidR="00EC4F4A">
        <w:t>ested</w:t>
      </w:r>
    </w:p>
    <w:p w:rsidR="000B2775" w:rsidRDefault="000B2775" w:rsidP="0086195B">
      <w:r>
        <w:tab/>
        <w:t>Leave contact details and written information</w:t>
      </w:r>
      <w:r w:rsidR="00D64E2D">
        <w:t xml:space="preserve"> and reiterate that no follow up occurs following the meeting.</w:t>
      </w:r>
    </w:p>
    <w:p w:rsidR="000B2775" w:rsidRDefault="000B2775" w:rsidP="0086195B"/>
    <w:p w:rsidR="00541115" w:rsidRDefault="000B2775" w:rsidP="0086195B">
      <w:pPr>
        <w:rPr>
          <w:i/>
        </w:rPr>
      </w:pPr>
      <w:r w:rsidRPr="000B2775">
        <w:rPr>
          <w:i/>
        </w:rPr>
        <w:t>The meeting participants were encouraged to interrupt with questions as the meeting progressed and it is important to create an environment where there are “no silly questions”</w:t>
      </w:r>
      <w:r>
        <w:rPr>
          <w:i/>
        </w:rPr>
        <w:t xml:space="preserve"> </w:t>
      </w:r>
      <w:r w:rsidR="00EC4F4A">
        <w:rPr>
          <w:i/>
        </w:rPr>
        <w:t>i.e. people</w:t>
      </w:r>
      <w:r>
        <w:rPr>
          <w:i/>
        </w:rPr>
        <w:t xml:space="preserve"> are comfortable</w:t>
      </w:r>
      <w:r w:rsidR="00B232FF">
        <w:rPr>
          <w:i/>
        </w:rPr>
        <w:t xml:space="preserve"> to</w:t>
      </w:r>
      <w:r>
        <w:rPr>
          <w:i/>
        </w:rPr>
        <w:t xml:space="preserve"> </w:t>
      </w:r>
      <w:r w:rsidR="00EC4F4A">
        <w:rPr>
          <w:i/>
        </w:rPr>
        <w:t>ask and have any question answered.</w:t>
      </w:r>
      <w:r w:rsidRPr="000B2775">
        <w:rPr>
          <w:i/>
        </w:rPr>
        <w:t xml:space="preserve"> </w:t>
      </w:r>
    </w:p>
    <w:p w:rsidR="000B2775" w:rsidRPr="000B2775" w:rsidRDefault="000B2775" w:rsidP="0086195B">
      <w:pPr>
        <w:rPr>
          <w:i/>
        </w:rPr>
      </w:pPr>
      <w:r w:rsidRPr="000B2775">
        <w:rPr>
          <w:i/>
        </w:rPr>
        <w:tab/>
      </w:r>
    </w:p>
    <w:p w:rsidR="00E45F93" w:rsidRDefault="00B232FF" w:rsidP="0086195B">
      <w:r>
        <w:rPr>
          <w:i/>
        </w:rPr>
        <w:t>During the project we took food for the family</w:t>
      </w:r>
      <w:r w:rsidR="00541115">
        <w:rPr>
          <w:i/>
        </w:rPr>
        <w:t xml:space="preserve"> (usually subway platters)</w:t>
      </w:r>
      <w:r>
        <w:rPr>
          <w:i/>
        </w:rPr>
        <w:t xml:space="preserve">, not only as a form of </w:t>
      </w:r>
      <w:proofErr w:type="spellStart"/>
      <w:r>
        <w:rPr>
          <w:i/>
        </w:rPr>
        <w:t>koha</w:t>
      </w:r>
      <w:proofErr w:type="spellEnd"/>
      <w:r>
        <w:rPr>
          <w:i/>
        </w:rPr>
        <w:t xml:space="preserve"> but also to offset any cost to the recipient in bringing people together in their home. This was always gratefully received but not expected. We no longer have funding for this and meetings have been successfully held </w:t>
      </w:r>
      <w:r w:rsidR="00541115">
        <w:rPr>
          <w:i/>
        </w:rPr>
        <w:t xml:space="preserve">since the project finished </w:t>
      </w:r>
      <w:r>
        <w:rPr>
          <w:i/>
        </w:rPr>
        <w:t xml:space="preserve">without </w:t>
      </w:r>
      <w:r w:rsidR="00541115">
        <w:rPr>
          <w:i/>
        </w:rPr>
        <w:t>an offering of food.</w:t>
      </w:r>
      <w:r w:rsidR="00E45F93">
        <w:tab/>
      </w:r>
    </w:p>
    <w:p w:rsidR="00E45F93" w:rsidRDefault="00E45F93" w:rsidP="0086195B">
      <w:r>
        <w:tab/>
      </w:r>
    </w:p>
    <w:p w:rsidR="00D64E2D" w:rsidRDefault="00BA7E20" w:rsidP="0086195B">
      <w:r>
        <w:t>The meetings were</w:t>
      </w:r>
      <w:r w:rsidR="00D64E2D">
        <w:t>,</w:t>
      </w:r>
      <w:r>
        <w:t xml:space="preserve"> on the whole</w:t>
      </w:r>
      <w:r w:rsidR="00D64E2D">
        <w:t>,</w:t>
      </w:r>
      <w:r>
        <w:t xml:space="preserve"> successful and received positive feedback. Donation</w:t>
      </w:r>
      <w:r w:rsidR="00D64E2D">
        <w:t xml:space="preserve"> offers were</w:t>
      </w:r>
      <w:r>
        <w:t xml:space="preserve"> most likely to occur where there was an activated family member who was </w:t>
      </w:r>
      <w:r w:rsidR="00D64E2D">
        <w:t>responsible for organising the family and advocating for the recipient or a family/friend that had already thought about donation and needed further information or clarification.</w:t>
      </w:r>
    </w:p>
    <w:p w:rsidR="00D64E2D" w:rsidRDefault="00D64E2D" w:rsidP="0086195B"/>
    <w:p w:rsidR="00A70E9B" w:rsidRDefault="00BA7E20" w:rsidP="0086195B">
      <w:r>
        <w:t>Please see</w:t>
      </w:r>
      <w:r w:rsidR="00D64E2D">
        <w:t xml:space="preserve"> the LKDA</w:t>
      </w:r>
      <w:r>
        <w:t xml:space="preserve"> report for feedback and full evaluation of the Home Based Education</w:t>
      </w:r>
      <w:r w:rsidR="00D64E2D">
        <w:t xml:space="preserve"> intervention.</w:t>
      </w:r>
    </w:p>
    <w:p w:rsidR="00057294" w:rsidRDefault="00057294" w:rsidP="0086195B"/>
    <w:p w:rsidR="00057294" w:rsidRDefault="00057294" w:rsidP="0086195B">
      <w:r>
        <w:t xml:space="preserve">Denise Beechey </w:t>
      </w:r>
    </w:p>
    <w:p w:rsidR="00057294" w:rsidRDefault="00057294" w:rsidP="0086195B">
      <w:r>
        <w:t>LKDA project 2013- 2016</w:t>
      </w:r>
    </w:p>
    <w:p w:rsidR="00057294" w:rsidRDefault="00B716DB" w:rsidP="0086195B">
      <w:bookmarkStart w:id="0" w:name="_GoBack"/>
      <w:bookmarkEnd w:id="0"/>
      <w:r>
        <w:t>Acknowledgement: Dr Mark Marshall – Clinical lead LKDA project</w:t>
      </w:r>
    </w:p>
    <w:p w:rsidR="00057294" w:rsidRPr="00743976" w:rsidRDefault="00057294" w:rsidP="0086195B"/>
    <w:sectPr w:rsidR="00057294" w:rsidRPr="0074397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AB8" w:rsidRDefault="004B3AB8" w:rsidP="00057294">
      <w:r>
        <w:separator/>
      </w:r>
    </w:p>
  </w:endnote>
  <w:endnote w:type="continuationSeparator" w:id="0">
    <w:p w:rsidR="004B3AB8" w:rsidRDefault="004B3AB8" w:rsidP="0005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AB8" w:rsidRDefault="004B3AB8" w:rsidP="00057294">
      <w:r>
        <w:separator/>
      </w:r>
    </w:p>
  </w:footnote>
  <w:footnote w:type="continuationSeparator" w:id="0">
    <w:p w:rsidR="004B3AB8" w:rsidRDefault="004B3AB8" w:rsidP="00057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94" w:rsidRDefault="00057294">
    <w:pPr>
      <w:pStyle w:val="Header"/>
    </w:pPr>
    <w:r>
      <w:rPr>
        <w:noProof/>
        <w:lang w:val="en-NZ" w:eastAsia="en-NZ"/>
      </w:rPr>
      <mc:AlternateContent>
        <mc:Choice Requires="wps">
          <w:drawing>
            <wp:anchor distT="0" distB="0" distL="114300" distR="114300" simplePos="0" relativeHeight="251659264" behindDoc="0" locked="0" layoutInCell="1" allowOverlap="1" wp14:anchorId="51A7C8B5" wp14:editId="2CCBAC16">
              <wp:simplePos x="0" y="0"/>
              <wp:positionH relativeFrom="column">
                <wp:posOffset>1619250</wp:posOffset>
              </wp:positionH>
              <wp:positionV relativeFrom="paragraph">
                <wp:posOffset>-78740</wp:posOffset>
              </wp:positionV>
              <wp:extent cx="1924050" cy="56959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1924050" cy="569595"/>
                      </a:xfrm>
                      <a:prstGeom prst="rect">
                        <a:avLst/>
                      </a:prstGeom>
                      <a:noFill/>
                      <a:ln>
                        <a:noFill/>
                      </a:ln>
                      <a:effectLst/>
                    </wps:spPr>
                    <wps:txbx>
                      <w:txbxContent>
                        <w:p w:rsidR="00057294" w:rsidRPr="00057294" w:rsidRDefault="00057294" w:rsidP="00057294">
                          <w:pPr>
                            <w:jc w:val="center"/>
                            <w:rPr>
                              <w:b/>
                              <w:color w:val="F9FAFD" w:themeColor="accent1" w:themeTint="08"/>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6.2pt;width:151.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" filled="f" stroked="f">
              <v:textbox>
                <w:txbxContent>
                  <w:p w:rsidR="00057294" w:rsidRPr="00057294" w:rsidRDefault="00057294" w:rsidP="00057294">
                    <w:pPr>
                      <w:jc w:val="center"/>
                      <w:rPr>
                        <w:b/>
                        <w:color w:val="F9FAFD" w:themeColor="accent1" w:themeTint="08"/>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D79BC"/>
    <w:multiLevelType w:val="hybridMultilevel"/>
    <w:tmpl w:val="F00CB0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D7"/>
    <w:rsid w:val="000210F4"/>
    <w:rsid w:val="00057294"/>
    <w:rsid w:val="000B2775"/>
    <w:rsid w:val="004B3AB8"/>
    <w:rsid w:val="00541115"/>
    <w:rsid w:val="006F68D7"/>
    <w:rsid w:val="00743976"/>
    <w:rsid w:val="00832D67"/>
    <w:rsid w:val="00841DE0"/>
    <w:rsid w:val="0086195B"/>
    <w:rsid w:val="00A70E9B"/>
    <w:rsid w:val="00AA3D5F"/>
    <w:rsid w:val="00AB2818"/>
    <w:rsid w:val="00B232FF"/>
    <w:rsid w:val="00B716DB"/>
    <w:rsid w:val="00BA7E20"/>
    <w:rsid w:val="00CD4A32"/>
    <w:rsid w:val="00CD57B7"/>
    <w:rsid w:val="00D64E2D"/>
    <w:rsid w:val="00D725C9"/>
    <w:rsid w:val="00E45F93"/>
    <w:rsid w:val="00EC4F4A"/>
    <w:rsid w:val="00F23A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D5F"/>
    <w:pPr>
      <w:ind w:left="720"/>
      <w:contextualSpacing/>
    </w:pPr>
  </w:style>
  <w:style w:type="paragraph" w:styleId="Header">
    <w:name w:val="header"/>
    <w:basedOn w:val="Normal"/>
    <w:link w:val="HeaderChar"/>
    <w:rsid w:val="00057294"/>
    <w:pPr>
      <w:tabs>
        <w:tab w:val="center" w:pos="4513"/>
        <w:tab w:val="right" w:pos="9026"/>
      </w:tabs>
    </w:pPr>
  </w:style>
  <w:style w:type="character" w:customStyle="1" w:styleId="HeaderChar">
    <w:name w:val="Header Char"/>
    <w:basedOn w:val="DefaultParagraphFont"/>
    <w:link w:val="Header"/>
    <w:rsid w:val="00057294"/>
    <w:rPr>
      <w:sz w:val="24"/>
      <w:szCs w:val="24"/>
      <w:lang w:val="en-AU" w:eastAsia="zh-CN"/>
    </w:rPr>
  </w:style>
  <w:style w:type="paragraph" w:styleId="Footer">
    <w:name w:val="footer"/>
    <w:basedOn w:val="Normal"/>
    <w:link w:val="FooterChar"/>
    <w:rsid w:val="00057294"/>
    <w:pPr>
      <w:tabs>
        <w:tab w:val="center" w:pos="4513"/>
        <w:tab w:val="right" w:pos="9026"/>
      </w:tabs>
    </w:pPr>
  </w:style>
  <w:style w:type="character" w:customStyle="1" w:styleId="FooterChar">
    <w:name w:val="Footer Char"/>
    <w:basedOn w:val="DefaultParagraphFont"/>
    <w:link w:val="Footer"/>
    <w:rsid w:val="00057294"/>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D5F"/>
    <w:pPr>
      <w:ind w:left="720"/>
      <w:contextualSpacing/>
    </w:pPr>
  </w:style>
  <w:style w:type="paragraph" w:styleId="Header">
    <w:name w:val="header"/>
    <w:basedOn w:val="Normal"/>
    <w:link w:val="HeaderChar"/>
    <w:rsid w:val="00057294"/>
    <w:pPr>
      <w:tabs>
        <w:tab w:val="center" w:pos="4513"/>
        <w:tab w:val="right" w:pos="9026"/>
      </w:tabs>
    </w:pPr>
  </w:style>
  <w:style w:type="character" w:customStyle="1" w:styleId="HeaderChar">
    <w:name w:val="Header Char"/>
    <w:basedOn w:val="DefaultParagraphFont"/>
    <w:link w:val="Header"/>
    <w:rsid w:val="00057294"/>
    <w:rPr>
      <w:sz w:val="24"/>
      <w:szCs w:val="24"/>
      <w:lang w:val="en-AU" w:eastAsia="zh-CN"/>
    </w:rPr>
  </w:style>
  <w:style w:type="paragraph" w:styleId="Footer">
    <w:name w:val="footer"/>
    <w:basedOn w:val="Normal"/>
    <w:link w:val="FooterChar"/>
    <w:rsid w:val="00057294"/>
    <w:pPr>
      <w:tabs>
        <w:tab w:val="center" w:pos="4513"/>
        <w:tab w:val="right" w:pos="9026"/>
      </w:tabs>
    </w:pPr>
  </w:style>
  <w:style w:type="character" w:customStyle="1" w:styleId="FooterChar">
    <w:name w:val="Footer Char"/>
    <w:basedOn w:val="DefaultParagraphFont"/>
    <w:link w:val="Footer"/>
    <w:rsid w:val="00057294"/>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5E15FED.dotm</Template>
  <TotalTime>194</TotalTime>
  <Pages>1</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Beechey (CMDHB)</dc:creator>
  <cp:lastModifiedBy>Denise Beechey (CMDHB)</cp:lastModifiedBy>
  <cp:revision>6</cp:revision>
  <dcterms:created xsi:type="dcterms:W3CDTF">2017-05-18T23:18:00Z</dcterms:created>
  <dcterms:modified xsi:type="dcterms:W3CDTF">2017-07-09T21:55:00Z</dcterms:modified>
</cp:coreProperties>
</file>